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18" w:rsidRPr="006668DA" w:rsidRDefault="008B2918">
      <w:pPr>
        <w:spacing w:after="17" w:line="180" w:lineRule="exac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bookmarkStart w:id="0" w:name="_GoBack"/>
      <w:bookmarkEnd w:id="0"/>
    </w:p>
    <w:p w:rsidR="006668DA" w:rsidRDefault="006668DA" w:rsidP="008B2918">
      <w:pPr>
        <w:spacing w:after="12" w:line="22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2918" w:rsidRPr="006668DA" w:rsidRDefault="008B2918" w:rsidP="008B2918">
      <w:pPr>
        <w:spacing w:after="12" w:line="22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68DA">
        <w:rPr>
          <w:rFonts w:ascii="Times New Roman" w:hAnsi="Times New Roman" w:cs="Times New Roman"/>
          <w:b/>
          <w:sz w:val="24"/>
          <w:szCs w:val="28"/>
        </w:rPr>
        <w:t>ПАМЯТКА ЗАЕМЩИКАМ</w:t>
      </w:r>
    </w:p>
    <w:p w:rsidR="00F51ED6" w:rsidRPr="006668DA" w:rsidRDefault="008B2918" w:rsidP="008B2918">
      <w:pPr>
        <w:spacing w:after="12"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 xml:space="preserve"> по поддержке граждан и </w:t>
      </w:r>
      <w:r w:rsidR="00C06150" w:rsidRPr="006668DA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</w:t>
      </w:r>
      <w:r w:rsidRPr="006668DA">
        <w:rPr>
          <w:rFonts w:ascii="Times New Roman" w:hAnsi="Times New Roman" w:cs="Times New Roman"/>
          <w:b/>
          <w:sz w:val="28"/>
          <w:szCs w:val="28"/>
        </w:rPr>
        <w:t xml:space="preserve">в условиях пандемии </w:t>
      </w:r>
      <w:proofErr w:type="spellStart"/>
      <w:r w:rsidRPr="006668DA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8B2918" w:rsidRPr="006668DA" w:rsidRDefault="008B2918" w:rsidP="008B2918">
      <w:pPr>
        <w:spacing w:after="12" w:line="2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11057"/>
      </w:tblGrid>
      <w:tr w:rsidR="00F51ED6" w:rsidRPr="006668DA" w:rsidTr="001332C1">
        <w:trPr>
          <w:cantSplit/>
          <w:trHeight w:hRule="exact" w:val="394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ED6" w:rsidRPr="006668DA" w:rsidRDefault="005339EA" w:rsidP="00425E12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 xml:space="preserve">Виды </w:t>
            </w:r>
            <w:r w:rsidR="00425E12" w:rsidRPr="006668D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м</w:t>
            </w:r>
            <w:r w:rsidR="008B2918" w:rsidRPr="006668D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ер поддержки</w:t>
            </w:r>
          </w:p>
        </w:tc>
        <w:tc>
          <w:tcPr>
            <w:tcW w:w="1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ED6" w:rsidRPr="006668DA" w:rsidRDefault="008B2918" w:rsidP="00810AE7">
            <w:pPr>
              <w:widowControl w:val="0"/>
              <w:spacing w:before="1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Мероприятия</w:t>
            </w:r>
          </w:p>
        </w:tc>
      </w:tr>
      <w:tr w:rsidR="00C90091" w:rsidRPr="006668DA" w:rsidTr="00785DE7">
        <w:trPr>
          <w:cantSplit/>
          <w:trHeight w:hRule="exact" w:val="620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91" w:rsidRPr="006668DA" w:rsidRDefault="00C90091" w:rsidP="004A1AB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  <w:t>1.Кредитные каникулы</w:t>
            </w:r>
          </w:p>
        </w:tc>
        <w:tc>
          <w:tcPr>
            <w:tcW w:w="1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91" w:rsidRPr="006668DA" w:rsidRDefault="00C90091" w:rsidP="00810AE7">
            <w:pPr>
              <w:widowControl w:val="0"/>
              <w:spacing w:before="1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</w:p>
        </w:tc>
      </w:tr>
      <w:tr w:rsidR="0089178F" w:rsidRPr="006668DA" w:rsidTr="001332C1">
        <w:trPr>
          <w:cantSplit/>
          <w:trHeight w:hRule="exact" w:val="873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78F" w:rsidRPr="006668DA" w:rsidRDefault="0089178F" w:rsidP="006A598D">
            <w:pPr>
              <w:pStyle w:val="a4"/>
              <w:ind w:left="288" w:right="142"/>
              <w:rPr>
                <w:b/>
                <w:color w:val="000000"/>
                <w:spacing w:val="-1"/>
                <w:sz w:val="29"/>
                <w:szCs w:val="29"/>
              </w:rPr>
            </w:pPr>
            <w:r w:rsidRPr="006668DA">
              <w:rPr>
                <w:b/>
                <w:sz w:val="29"/>
                <w:szCs w:val="29"/>
              </w:rPr>
              <w:t>1.</w:t>
            </w:r>
            <w:r w:rsidR="00C90091" w:rsidRPr="006668DA">
              <w:rPr>
                <w:b/>
                <w:sz w:val="29"/>
                <w:szCs w:val="29"/>
              </w:rPr>
              <w:t>1</w:t>
            </w:r>
            <w:r w:rsidRPr="006668DA">
              <w:rPr>
                <w:b/>
                <w:sz w:val="29"/>
                <w:szCs w:val="29"/>
              </w:rPr>
              <w:t xml:space="preserve"> </w:t>
            </w:r>
            <w:r w:rsidR="00C90091" w:rsidRPr="006668DA">
              <w:rPr>
                <w:b/>
                <w:sz w:val="29"/>
                <w:szCs w:val="29"/>
              </w:rPr>
              <w:t xml:space="preserve"> по кредитам гражданам и индивидуальным </w:t>
            </w:r>
            <w:r w:rsidR="00CA40F8">
              <w:rPr>
                <w:b/>
                <w:sz w:val="29"/>
                <w:szCs w:val="29"/>
              </w:rPr>
              <w:t>п</w:t>
            </w:r>
            <w:r w:rsidR="00C90091" w:rsidRPr="006668DA">
              <w:rPr>
                <w:b/>
                <w:sz w:val="29"/>
                <w:szCs w:val="29"/>
              </w:rPr>
              <w:t>редпринимателям</w:t>
            </w:r>
          </w:p>
        </w:tc>
        <w:tc>
          <w:tcPr>
            <w:tcW w:w="1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479" w:rsidRDefault="00BE41F1" w:rsidP="00E26DFB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П</w:t>
            </w:r>
            <w:r w:rsidR="008B291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редоставление льготного периода заемщикам в связи с распространением </w:t>
            </w:r>
            <w:proofErr w:type="spellStart"/>
            <w:r w:rsidR="008B291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коронавирусной</w:t>
            </w:r>
            <w:proofErr w:type="spellEnd"/>
            <w:r w:rsidR="008B291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инфекции и гарантирует отсрочку платежей по кредитам и займам на срок до полугода в том случае, если заемщик оказался в трудной жизненной ситуации и столкнулся со снижением дохода на 30% и более. </w:t>
            </w:r>
          </w:p>
          <w:p w:rsidR="00E26DFB" w:rsidRPr="006668DA" w:rsidRDefault="00FD651F" w:rsidP="00E26DFB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Право на льготный период имеют граждане и индивидуальные предприниматели.</w:t>
            </w:r>
            <w:r w:rsidR="00E26DFB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Льготный период предоставляется по запросу заемщика сразу же, подтверждающие документы можно принести в банк потом.</w:t>
            </w:r>
          </w:p>
          <w:p w:rsidR="008B2918" w:rsidRDefault="008B2918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Льготный период распространяется на кредиты и займы до определенной суммы, их лимиты определены Постановлениями Правительства </w:t>
            </w:r>
            <w:hyperlink r:id="rId6" w:history="1">
              <w:r w:rsidRPr="006668DA">
                <w:rPr>
                  <w:rFonts w:ascii="Times New Roman" w:eastAsia="Times New Roman" w:hAnsi="Times New Roman" w:cs="Times New Roman"/>
                  <w:sz w:val="29"/>
                  <w:szCs w:val="29"/>
                </w:rPr>
                <w:t xml:space="preserve">от </w:t>
              </w:r>
              <w:r w:rsidR="004D2332" w:rsidRPr="006668DA">
                <w:rPr>
                  <w:rFonts w:ascii="Times New Roman" w:eastAsia="Times New Roman" w:hAnsi="Times New Roman" w:cs="Times New Roman"/>
                  <w:sz w:val="29"/>
                  <w:szCs w:val="29"/>
                </w:rPr>
                <w:t>0</w:t>
              </w:r>
              <w:r w:rsidRPr="006668DA">
                <w:rPr>
                  <w:rFonts w:ascii="Times New Roman" w:eastAsia="Times New Roman" w:hAnsi="Times New Roman" w:cs="Times New Roman"/>
                  <w:sz w:val="29"/>
                  <w:szCs w:val="29"/>
                </w:rPr>
                <w:t>3 апреля</w:t>
              </w:r>
            </w:hyperlink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2020 г. №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435 </w:t>
            </w:r>
            <w:r w:rsidR="004D2332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«Об установлении максимального размера кредита (займа) для кредитов (займов), по которому заемщик вправе обратиться к кредитору с требованием об изменении условий кредитного договора (договора займа), предусматривающим приостановление исполнения заемщиком своих обязательств» и от 10 апреля 2020 г. №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478 «О</w:t>
            </w:r>
            <w:proofErr w:type="gramEnd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gram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внесении</w:t>
            </w:r>
            <w:proofErr w:type="gramEnd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изменений в постановление Правительства Российско</w:t>
            </w:r>
            <w:r w:rsidR="00182D05">
              <w:rPr>
                <w:rFonts w:ascii="Times New Roman" w:eastAsia="Times New Roman" w:hAnsi="Times New Roman" w:cs="Times New Roman"/>
                <w:sz w:val="29"/>
                <w:szCs w:val="29"/>
              </w:rPr>
              <w:t>й Федерации от 3 апреля 2020 г.</w:t>
            </w:r>
            <w:r w:rsid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№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435». </w:t>
            </w:r>
          </w:p>
          <w:p w:rsidR="00C21278" w:rsidRPr="006668DA" w:rsidRDefault="00C21278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После установления льготного периода исполнение обязатель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едитора по предоставлению средств заемщику приостанавливается на весь срок действия льготного периода.</w:t>
            </w:r>
          </w:p>
          <w:p w:rsidR="008B2918" w:rsidRPr="006668DA" w:rsidRDefault="008B2918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Банком России даны рекомендации коммерческим банкам реструктурировать и займы, не подходящие под требования данного закона. У большинства банков уже есть программы реструктуризации. Банки могут предлагать перенос сроков платежа, снижение его размера и другие варианты, чтобы сделать выплаты посильными.</w:t>
            </w:r>
          </w:p>
          <w:p w:rsidR="0089178F" w:rsidRPr="006668DA" w:rsidRDefault="001467F7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Федеральный закон от 03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апреля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2020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г.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№ 106-ФЗ «О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</w:t>
            </w:r>
            <w:r w:rsidR="00C90091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договора, договора займа» (ст.6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).</w:t>
            </w:r>
          </w:p>
        </w:tc>
      </w:tr>
      <w:tr w:rsidR="00C90091" w:rsidRPr="006668DA" w:rsidTr="001332C1">
        <w:trPr>
          <w:cantSplit/>
          <w:trHeight w:hRule="exact" w:val="921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91" w:rsidRPr="006668DA" w:rsidRDefault="00C90091" w:rsidP="003E0C54">
            <w:pPr>
              <w:pStyle w:val="a4"/>
              <w:ind w:left="288"/>
              <w:rPr>
                <w:b/>
                <w:sz w:val="29"/>
                <w:szCs w:val="29"/>
              </w:rPr>
            </w:pPr>
            <w:r w:rsidRPr="006668DA">
              <w:rPr>
                <w:b/>
                <w:sz w:val="29"/>
                <w:szCs w:val="29"/>
              </w:rPr>
              <w:lastRenderedPageBreak/>
              <w:t>1.2.</w:t>
            </w:r>
            <w:r w:rsidR="0089139D" w:rsidRPr="006668DA">
              <w:rPr>
                <w:b/>
                <w:sz w:val="29"/>
                <w:szCs w:val="29"/>
              </w:rPr>
              <w:t xml:space="preserve"> по кредитам для МСП </w:t>
            </w:r>
          </w:p>
        </w:tc>
        <w:tc>
          <w:tcPr>
            <w:tcW w:w="1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91" w:rsidRDefault="00C90091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Право на </w:t>
            </w:r>
            <w:r w:rsidR="004802BC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отсрочку (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льготный период</w:t>
            </w:r>
            <w:r w:rsidR="004802BC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)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имеют субъекты малого и среднего предпринимательства, осуществляющие свою деятельность в отраслях, утвержденных Постановлением Пра</w:t>
            </w:r>
            <w:r w:rsidR="00182D05">
              <w:rPr>
                <w:rFonts w:ascii="Times New Roman" w:eastAsia="Times New Roman" w:hAnsi="Times New Roman" w:cs="Times New Roman"/>
                <w:sz w:val="29"/>
                <w:szCs w:val="29"/>
              </w:rPr>
              <w:t>вительства Российской Федерации, заключившие до 3 апреля 2020 года с кредитором кредитный договор (договор займа) и обратившиеся к кредитору с требованием об изменении его условий в любой момент действия такого договора, но не позднее 30 сентября 2020 года.</w:t>
            </w:r>
            <w:proofErr w:type="gramEnd"/>
          </w:p>
          <w:p w:rsidR="003656E1" w:rsidRDefault="003656E1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Требование заемщика –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периода.</w:t>
            </w:r>
          </w:p>
          <w:p w:rsidR="003656E1" w:rsidRDefault="003656E1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Длительность льготного  периода определяется заемщиком на срок не более шести месяцев.</w:t>
            </w:r>
          </w:p>
          <w:p w:rsidR="003656E1" w:rsidRDefault="003656E1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По окончании (прекращении) льготного периода в сумму обязательств заемщика по основному долгу включается сумма обязательств по процентам, которые должны были быть уплачены заемщиком в течение льготного периода исходя из действовавших до представления льготного периода условий кредитного договора, но</w:t>
            </w:r>
            <w:r w:rsidR="00C2127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не были им уплачены в с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вязи с представлением ему льготного периода.</w:t>
            </w:r>
            <w:proofErr w:type="gramEnd"/>
          </w:p>
          <w:p w:rsidR="00182D05" w:rsidRDefault="00182D05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Федеральный закон от 03 апреля 2020 г. № 106-ФЗ «О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займа» (ст.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7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).</w:t>
            </w:r>
          </w:p>
          <w:p w:rsidR="00C90091" w:rsidRPr="006668DA" w:rsidRDefault="00C90091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6A598D" w:rsidRPr="006668DA" w:rsidTr="001332C1">
        <w:trPr>
          <w:cantSplit/>
          <w:trHeight w:hRule="exact" w:val="1148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98D" w:rsidRPr="006668DA" w:rsidRDefault="006A598D" w:rsidP="006A598D">
            <w:pPr>
              <w:pStyle w:val="a4"/>
              <w:ind w:left="288"/>
              <w:rPr>
                <w:b/>
                <w:sz w:val="29"/>
                <w:szCs w:val="29"/>
              </w:rPr>
            </w:pPr>
            <w:r w:rsidRPr="006668DA">
              <w:rPr>
                <w:b/>
                <w:sz w:val="29"/>
                <w:szCs w:val="29"/>
              </w:rPr>
              <w:lastRenderedPageBreak/>
              <w:t xml:space="preserve">2. Отсрочка по кредитам для МСП </w:t>
            </w:r>
          </w:p>
        </w:tc>
        <w:tc>
          <w:tcPr>
            <w:tcW w:w="1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598D" w:rsidRDefault="006A598D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Право на отсрочку имеют заемщики, являющиеся субъектами малого или среднего предпринимательства в соответствии с Федеральным законом «О развитии малого и среднего предпринимательства в Российской Федерации» и осуществляющие деятельность в одной или нескольких отраслях или видах деятельности по перечню, утверждаемому Правительственной комиссией по вопросам малого и среднего предпринимательства, заключившие с российскими кредитными организациями кредитный договор (соглашение) до 1 апреля 2020 года.</w:t>
            </w:r>
            <w:proofErr w:type="gramEnd"/>
          </w:p>
          <w:p w:rsidR="00674523" w:rsidRDefault="00674523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Отсрочка предоставляется кредитной организацией в период с 1 апреля по 1 октября 2020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по платежам по основному долгу с продлением графика платежей по основному долгу по кредитному договору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(соглашению) на 6 месяцев.</w:t>
            </w:r>
          </w:p>
          <w:p w:rsidR="000D0067" w:rsidRDefault="000D0067" w:rsidP="000D006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Заемщик осуществляет платежи процентов в период с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0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1 апреля по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                     01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октября 2020 г. в размере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тридцати трех процентов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объема платежей, предусмотренных графиком платежей за указанный период, либо платежи процентов в период с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0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1 апреля по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0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1 октября 2020 г. в размере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тридцати трех процентов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включ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аются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в основной долг по кредитному договору (соглашению).</w:t>
            </w:r>
            <w:proofErr w:type="gramEnd"/>
          </w:p>
          <w:p w:rsidR="003163D3" w:rsidRDefault="00535AAC" w:rsidP="000D006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Из о</w:t>
            </w:r>
            <w:r w:rsidR="000D0067">
              <w:rPr>
                <w:rFonts w:ascii="Times New Roman" w:eastAsia="Times New Roman" w:hAnsi="Times New Roman" w:cs="Times New Roman"/>
                <w:sz w:val="29"/>
                <w:szCs w:val="29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вшихся</w:t>
            </w:r>
            <w:r w:rsidR="000D0067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шест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</w:t>
            </w:r>
            <w:r w:rsidR="000D0067">
              <w:rPr>
                <w:rFonts w:ascii="Times New Roman" w:eastAsia="Times New Roman" w:hAnsi="Times New Roman" w:cs="Times New Roman"/>
                <w:sz w:val="29"/>
                <w:szCs w:val="29"/>
              </w:rPr>
              <w:t>десят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</w:t>
            </w:r>
            <w:r w:rsidR="000D0067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сем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и</w:t>
            </w:r>
            <w:r w:rsidR="000D0067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процентов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тридцать чет</w:t>
            </w:r>
            <w:r w:rsidR="0049490C">
              <w:rPr>
                <w:rFonts w:ascii="Times New Roman" w:eastAsia="Times New Roman" w:hAnsi="Times New Roman" w:cs="Times New Roman"/>
                <w:sz w:val="29"/>
                <w:szCs w:val="29"/>
              </w:rPr>
              <w:t>ы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ре процента </w:t>
            </w:r>
            <w:r w:rsidR="000D0067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компенсируются кредитной организации Правительством Российской Федерации </w:t>
            </w:r>
            <w:proofErr w:type="gramStart"/>
            <w:r w:rsidR="000D0067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за счет средств федерального бюджета в случае </w:t>
            </w:r>
            <w:r w:rsidR="006A0E4B">
              <w:rPr>
                <w:rFonts w:ascii="Times New Roman" w:eastAsia="Times New Roman" w:hAnsi="Times New Roman" w:cs="Times New Roman"/>
                <w:sz w:val="29"/>
                <w:szCs w:val="29"/>
              </w:rPr>
              <w:t>заключения кредитной организацией соглашения с Министерством экономического развития Российской Федерации  о предоставлении субсидии на обеспечение</w:t>
            </w:r>
            <w:proofErr w:type="gramEnd"/>
            <w:r w:rsidR="006A0E4B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отсрочки платежа по кредитам, выданным субъектам МСП.</w:t>
            </w:r>
          </w:p>
          <w:p w:rsidR="00767638" w:rsidRDefault="003163D3" w:rsidP="003163D3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gram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е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девяти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месяцев с момента получения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заемщиком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отсрочки не допускается увеличение процентной ставки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по кредитному договору (соглашению)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и досрочное истребование кредитором обязательств по кредит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ному договору (соглашению)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если заемщик своевременно исполняет свои обязательства по уплате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тридцати трех процентов</w:t>
            </w:r>
            <w:r w:rsidRPr="006668DA">
              <w:rPr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объема платежей по начисленным процентам и/или обязательства по уплате основного долга в соответствии с новым графиком. </w:t>
            </w:r>
            <w:proofErr w:type="gramEnd"/>
          </w:p>
          <w:p w:rsidR="00F11FCF" w:rsidRPr="00CA59C9" w:rsidRDefault="00F11FCF" w:rsidP="00F11FCF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>В Нижегородской области программа действует</w:t>
            </w:r>
            <w:r w:rsidR="00A9506D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у</w:t>
            </w:r>
            <w:r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ПАО Сбербанк, ПАО Банк ВТБ, </w:t>
            </w:r>
            <w:r w:rsidR="00A9506D"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ПАО Промсвязьбанк, </w:t>
            </w:r>
            <w:r w:rsidRPr="00A9506D">
              <w:rPr>
                <w:rFonts w:ascii="Times New Roman" w:eastAsia="Times New Roman" w:hAnsi="Times New Roman" w:cs="Times New Roman"/>
                <w:sz w:val="29"/>
                <w:szCs w:val="29"/>
              </w:rPr>
              <w:t>АО «Газпромбанк»,</w:t>
            </w:r>
            <w:r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ПАО Банк «ФК Открытие»</w:t>
            </w:r>
            <w:r w:rsidR="00BD0C0F"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>,</w:t>
            </w:r>
            <w:r w:rsidR="00BD0C0F" w:rsidRPr="00AB248C">
              <w:t xml:space="preserve"> </w:t>
            </w:r>
            <w:r w:rsidR="00BD0C0F"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АО АБ "РОССИЯ", </w:t>
            </w:r>
            <w:r w:rsidR="008D0CF3"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>ПАО "САРОВБИЗНЕСБАНК"</w:t>
            </w:r>
            <w:r w:rsidRPr="00AB248C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1332C1" w:rsidRPr="006668DA" w:rsidRDefault="001332C1" w:rsidP="001332C1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Постановление Правительства РФ от 02 апреля 2020 г. № 410 «Об утверждении Правил предоставления в 2020 году субсидий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предпринимательства».</w:t>
            </w:r>
          </w:p>
          <w:p w:rsidR="00674523" w:rsidRPr="001332C1" w:rsidRDefault="00674523" w:rsidP="001332C1">
            <w:pPr>
              <w:spacing w:before="100" w:beforeAutospacing="1" w:after="100" w:afterAutospacing="1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u w:val="single"/>
              </w:rPr>
            </w:pPr>
          </w:p>
        </w:tc>
      </w:tr>
    </w:tbl>
    <w:p w:rsidR="006668DA" w:rsidRPr="006668DA" w:rsidRDefault="006668DA"/>
    <w:tbl>
      <w:tblPr>
        <w:tblW w:w="155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10915"/>
      </w:tblGrid>
      <w:tr w:rsidR="00425E12" w:rsidRPr="006668DA" w:rsidTr="005C444D">
        <w:trPr>
          <w:cantSplit/>
          <w:trHeight w:hRule="exact" w:val="1563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E12" w:rsidRPr="006668DA" w:rsidRDefault="00460028" w:rsidP="004A1ABA">
            <w:pPr>
              <w:pStyle w:val="a4"/>
              <w:rPr>
                <w:color w:val="000000"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3</w:t>
            </w:r>
            <w:r w:rsidR="00425E12" w:rsidRPr="006668DA">
              <w:rPr>
                <w:b/>
                <w:sz w:val="29"/>
                <w:szCs w:val="29"/>
              </w:rPr>
              <w:t>. Кредитование малого и среднего бизнеса</w:t>
            </w:r>
          </w:p>
        </w:tc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5E12" w:rsidRPr="006668DA" w:rsidRDefault="00425E12" w:rsidP="003163D3">
            <w:pPr>
              <w:spacing w:before="100" w:beforeAutospacing="1" w:after="100" w:afterAutospacing="1" w:line="240" w:lineRule="auto"/>
              <w:ind w:left="142" w:right="142"/>
              <w:jc w:val="both"/>
              <w:rPr>
                <w:color w:val="000000"/>
                <w:sz w:val="29"/>
                <w:szCs w:val="29"/>
              </w:rPr>
            </w:pPr>
          </w:p>
        </w:tc>
      </w:tr>
      <w:tr w:rsidR="005339EA" w:rsidRPr="006668DA" w:rsidTr="00AA23E3">
        <w:trPr>
          <w:cantSplit/>
          <w:trHeight w:hRule="exact" w:val="494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E12" w:rsidRPr="006668DA" w:rsidRDefault="00460028" w:rsidP="00CA40F8">
            <w:pPr>
              <w:pStyle w:val="a4"/>
              <w:ind w:left="288" w:firstLine="4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3</w:t>
            </w:r>
            <w:r w:rsidR="00425E12" w:rsidRPr="006668DA">
              <w:rPr>
                <w:b/>
                <w:sz w:val="29"/>
                <w:szCs w:val="29"/>
              </w:rPr>
              <w:t>.1. Упрощение требований к заемщикам-субъектам МСП</w:t>
            </w:r>
          </w:p>
          <w:p w:rsidR="005339EA" w:rsidRPr="006668DA" w:rsidRDefault="005339EA" w:rsidP="008B2918">
            <w:pPr>
              <w:pStyle w:val="a4"/>
              <w:rPr>
                <w:b/>
                <w:sz w:val="29"/>
                <w:szCs w:val="29"/>
              </w:rPr>
            </w:pPr>
          </w:p>
        </w:tc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39EA" w:rsidRDefault="00425E12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Упрощение требований к заемщику (при оценке не учитываются задолженности по налогам, сборам, заработной плате, просрочки по действующим кредитам), снятие ограничения по рефинансированию.</w:t>
            </w:r>
          </w:p>
          <w:p w:rsidR="008D0CF3" w:rsidRPr="00EE3801" w:rsidRDefault="008D0CF3" w:rsidP="008D0CF3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E3801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В Нижегородской области программа действует: ПАО Промсвязьбанк,                 ПАО Сбербанк, ПАО Банк ВТБ, </w:t>
            </w:r>
            <w:r w:rsidRPr="00EE3801"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>АО «Газпромбанк»</w:t>
            </w:r>
            <w:r w:rsidRPr="00EE3801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ПАО Банк «ФК Открытие», АО АБ "РОССИЯ", </w:t>
            </w:r>
            <w:r w:rsidRPr="00EE3801"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>АО "АЛЬФА-БАНК",</w:t>
            </w:r>
            <w:r w:rsidRPr="00EE3801">
              <w:t xml:space="preserve"> </w:t>
            </w:r>
            <w:r w:rsidRPr="00EE3801"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>ПАО "САРОВБИЗНЕСБАНК",</w:t>
            </w:r>
            <w:r w:rsidRPr="00EE3801">
              <w:t xml:space="preserve"> </w:t>
            </w:r>
            <w:r w:rsidRPr="00EE3801"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>ПАО "НБ</w:t>
            </w:r>
            <w:proofErr w:type="gramStart"/>
            <w:r w:rsidRPr="00EE3801"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>Д-</w:t>
            </w:r>
            <w:proofErr w:type="gramEnd"/>
            <w:r w:rsidRPr="00EE3801"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  <w:t xml:space="preserve"> Банк" </w:t>
            </w:r>
            <w:r w:rsidRPr="00EE3801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425E12" w:rsidRPr="006668DA" w:rsidRDefault="00425E12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color w:val="000000"/>
                <w:sz w:val="29"/>
                <w:szCs w:val="29"/>
              </w:rPr>
            </w:pPr>
            <w:proofErr w:type="gram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Постановление Правительства РФ от 31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марта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2020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г.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№ 372 «О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ставке».</w:t>
            </w:r>
            <w:proofErr w:type="gramEnd"/>
          </w:p>
        </w:tc>
      </w:tr>
      <w:tr w:rsidR="00425E12" w:rsidRPr="006668DA" w:rsidTr="005C444D">
        <w:trPr>
          <w:cantSplit/>
          <w:trHeight w:hRule="exact" w:val="4256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E12" w:rsidRPr="006668DA" w:rsidRDefault="00460028" w:rsidP="00457605">
            <w:pPr>
              <w:pStyle w:val="a4"/>
              <w:ind w:left="288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3</w:t>
            </w:r>
            <w:r w:rsidR="00425E12" w:rsidRPr="006668DA">
              <w:rPr>
                <w:b/>
                <w:sz w:val="29"/>
                <w:szCs w:val="29"/>
              </w:rPr>
              <w:t>.</w:t>
            </w:r>
            <w:r w:rsidR="00CA40F8">
              <w:rPr>
                <w:b/>
                <w:sz w:val="29"/>
                <w:szCs w:val="29"/>
              </w:rPr>
              <w:t>2</w:t>
            </w:r>
            <w:r w:rsidR="00425E12" w:rsidRPr="006668DA">
              <w:rPr>
                <w:b/>
                <w:sz w:val="29"/>
                <w:szCs w:val="29"/>
              </w:rPr>
              <w:t>. Программа кредитования на заработную плату</w:t>
            </w:r>
            <w:r w:rsidR="00457605">
              <w:rPr>
                <w:b/>
                <w:sz w:val="29"/>
                <w:szCs w:val="29"/>
              </w:rPr>
              <w:t xml:space="preserve"> под ставку </w:t>
            </w:r>
            <w:r w:rsidR="00457605" w:rsidRPr="00457605">
              <w:rPr>
                <w:b/>
                <w:sz w:val="29"/>
                <w:szCs w:val="29"/>
              </w:rPr>
              <w:t>0%</w:t>
            </w:r>
          </w:p>
        </w:tc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5E12" w:rsidRPr="006668DA" w:rsidRDefault="00425E12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Кредитная линия до 01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октября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2020, кредитование субъектов МСП, относящихся к категориям «малое предприятие» и «</w:t>
            </w:r>
            <w:proofErr w:type="spell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микропредприятие</w:t>
            </w:r>
            <w:proofErr w:type="spellEnd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». На выдачу кредита допущены банки с рейтингом н</w:t>
            </w:r>
            <w:r w:rsidR="00AC149D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е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ниже «</w:t>
            </w:r>
            <w:proofErr w:type="gramStart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А-</w:t>
            </w:r>
            <w:proofErr w:type="gramEnd"/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» (АКРА).</w:t>
            </w:r>
          </w:p>
          <w:p w:rsidR="00425E12" w:rsidRPr="00C6600F" w:rsidRDefault="00425E12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  <w:r w:rsidRPr="00115D8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В Нижегородской области программа действует: </w:t>
            </w:r>
            <w:r w:rsidR="00053FC8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ПАО </w:t>
            </w:r>
            <w:r w:rsidRPr="00115D8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Сбербанк, </w:t>
            </w:r>
            <w:r w:rsidR="00440E3D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ПАО </w:t>
            </w:r>
            <w:r w:rsidRPr="00115D8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Банк ВТБ, </w:t>
            </w:r>
            <w:r w:rsidR="00CA59C9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ПАО </w:t>
            </w:r>
            <w:r w:rsidRPr="00115D89">
              <w:rPr>
                <w:rFonts w:ascii="Times New Roman" w:eastAsia="Times New Roman" w:hAnsi="Times New Roman" w:cs="Times New Roman"/>
                <w:sz w:val="29"/>
                <w:szCs w:val="29"/>
              </w:rPr>
              <w:t>Промсвязьбанк</w:t>
            </w:r>
            <w:r w:rsidR="00C6600F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</w:t>
            </w:r>
            <w:r w:rsidR="00C6600F" w:rsidRPr="002D1E9B">
              <w:rPr>
                <w:rFonts w:ascii="Times New Roman" w:eastAsia="Times New Roman" w:hAnsi="Times New Roman" w:cs="Times New Roman"/>
                <w:sz w:val="29"/>
                <w:szCs w:val="29"/>
              </w:rPr>
              <w:t>Банк ГПБ (АО)</w:t>
            </w:r>
            <w:r w:rsidR="002D1E9B" w:rsidRPr="002D1E9B">
              <w:rPr>
                <w:rFonts w:ascii="Times New Roman" w:eastAsia="Times New Roman" w:hAnsi="Times New Roman" w:cs="Times New Roman"/>
                <w:sz w:val="29"/>
                <w:szCs w:val="29"/>
              </w:rPr>
              <w:t>,</w:t>
            </w:r>
            <w:r w:rsidR="00C6600F" w:rsidRPr="002D1E9B">
              <w:t xml:space="preserve"> </w:t>
            </w:r>
            <w:r w:rsidR="00C6600F" w:rsidRPr="002D1E9B">
              <w:rPr>
                <w:rFonts w:ascii="Times New Roman" w:eastAsia="Times New Roman" w:hAnsi="Times New Roman" w:cs="Times New Roman"/>
                <w:sz w:val="29"/>
                <w:szCs w:val="29"/>
              </w:rPr>
              <w:t>АО "АЛЬФА-БАНК"</w:t>
            </w:r>
            <w:r w:rsidRPr="002D1E9B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425E12" w:rsidRPr="006668DA" w:rsidRDefault="00425E12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Постановление Правительства РФ от 02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апреля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2020 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г.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№ 422 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«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Об</w:t>
            </w:r>
            <w:r w:rsidR="0065224F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утверждении Правил предоставления субсидий из федерального бюджета российским кредитным</w:t>
            </w:r>
            <w:r w:rsidR="00A636F3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организациям на возмещение недополученных ими доходов по кредитам, выданным в 2020 году субъектам малого и среднего предпринимательства на неотложные нужды для поддержки и сохранения занятости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»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</w:tc>
      </w:tr>
      <w:tr w:rsidR="00CA40F8" w:rsidRPr="006668DA" w:rsidTr="004334D0">
        <w:trPr>
          <w:cantSplit/>
          <w:trHeight w:hRule="exact" w:val="10493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0F8" w:rsidRPr="006668DA" w:rsidRDefault="00460028" w:rsidP="00CA40F8">
            <w:pPr>
              <w:pStyle w:val="a4"/>
              <w:ind w:left="288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lastRenderedPageBreak/>
              <w:t>3</w:t>
            </w:r>
            <w:r w:rsidR="00CA40F8" w:rsidRPr="006668DA">
              <w:rPr>
                <w:b/>
                <w:sz w:val="29"/>
                <w:szCs w:val="29"/>
              </w:rPr>
              <w:t>.</w:t>
            </w:r>
            <w:r w:rsidR="00CA40F8">
              <w:rPr>
                <w:b/>
                <w:sz w:val="29"/>
                <w:szCs w:val="29"/>
              </w:rPr>
              <w:t>3</w:t>
            </w:r>
            <w:r w:rsidR="00CA40F8" w:rsidRPr="006668DA">
              <w:rPr>
                <w:b/>
                <w:sz w:val="29"/>
                <w:szCs w:val="29"/>
              </w:rPr>
              <w:t>. Кредитование под 8,5% для МСП</w:t>
            </w:r>
          </w:p>
          <w:p w:rsidR="00CA40F8" w:rsidRPr="006668DA" w:rsidRDefault="00CA40F8" w:rsidP="00CA40F8">
            <w:pPr>
              <w:pStyle w:val="a4"/>
              <w:ind w:left="288"/>
              <w:rPr>
                <w:b/>
                <w:sz w:val="29"/>
                <w:szCs w:val="29"/>
              </w:rPr>
            </w:pPr>
          </w:p>
        </w:tc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0F8" w:rsidRPr="004334D0" w:rsidRDefault="00CA40F8" w:rsidP="00F0602E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Продление пониженной ставки по кредитам для малого и среднего бизнеса на максимальном уровне 8,5% и сняты ограничения по видам льготного кредитования и отраслям.</w:t>
            </w:r>
          </w:p>
          <w:p w:rsidR="00CA40F8" w:rsidRPr="004334D0" w:rsidRDefault="00CA40F8" w:rsidP="00F0602E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30 декабря 2018 г. № 1764 «Об утверждении Правил предоставления субсидий из федерального бюджета российским кредитным</w:t>
            </w:r>
            <w:r w:rsidR="00460028"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организациям на возмещение недополученных ими доходов по кредитам, выданным в 2019 - 2024 годах субъектам малого и среднего предпринимательства по льготной ставке».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банков-партнеров по</w:t>
            </w:r>
            <w:r w:rsidR="004334D0"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 льготного кредит</w:t>
            </w:r>
            <w:r w:rsidR="004334D0"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 «1764», расположенных</w:t>
            </w:r>
            <w:r w:rsidR="004334D0" w:rsidRPr="004334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334D0"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4334D0" w:rsidRPr="004334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 w:rsidR="004334D0" w:rsidRPr="004334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Нижегородской</w:t>
            </w:r>
            <w:r w:rsidR="004334D0" w:rsidRPr="004334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области:</w:t>
            </w:r>
            <w:r w:rsidRPr="004334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1. ПАО Банк Зенит</w:t>
            </w:r>
            <w:r w:rsidR="004334D0"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34D0" w:rsidRPr="00535AAC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2. АО «Банк ДОМ. РФ»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3. АКБ «</w:t>
            </w:r>
            <w:proofErr w:type="spellStart"/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Ланта</w:t>
            </w:r>
            <w:proofErr w:type="spellEnd"/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-Банк» (АО)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4. ПАО Банк «ФК Открытие»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5. АО АБ «РОССИЯ»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6. Банк ВТБ (ПАО)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7. Банк ГПБ (АО)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АО «Банк </w:t>
            </w:r>
            <w:proofErr w:type="spellStart"/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Интеза</w:t>
            </w:r>
            <w:proofErr w:type="spellEnd"/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9. АО «МСП 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10. ПАО «НБД-Банк»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11. АО «Райффайзенбанк»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12. ПАО РОСБАНК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13. ПАО «САРОВБИЗНЕСБАНК»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14. ПАО «Сбербанк России»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15. ПАО КБ «Центр-</w:t>
            </w:r>
            <w:proofErr w:type="spellStart"/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4D0">
              <w:rPr>
                <w:rFonts w:ascii="Times New Roman" w:eastAsia="Times New Roman" w:hAnsi="Times New Roman" w:cs="Times New Roman"/>
                <w:sz w:val="24"/>
                <w:szCs w:val="24"/>
              </w:rPr>
              <w:t>16. ПАО «Промсвязьбанк»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17. АО «АЛЬФА-БАНК»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18. ТКБ БАНК (ПАО)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19. Банк «Возрождение» (ПАО)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20. АО «Россельхозбанк»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21. ПАО «</w:t>
            </w:r>
            <w:proofErr w:type="spellStart"/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Совкомбанк</w:t>
            </w:r>
            <w:proofErr w:type="spellEnd"/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22. АО «СМП Банк»</w:t>
            </w:r>
          </w:p>
          <w:p w:rsidR="004334D0" w:rsidRPr="004334D0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23. «СДМ-Банк» (ПАО)</w:t>
            </w:r>
          </w:p>
          <w:p w:rsidR="000704AF" w:rsidRPr="000704AF" w:rsidRDefault="000704AF" w:rsidP="004334D0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  <w:highlight w:val="yellow"/>
              </w:rPr>
            </w:pPr>
            <w:r w:rsidRPr="004334D0">
              <w:rPr>
                <w:rFonts w:ascii="Times New Roman" w:eastAsia="Times New Roman" w:hAnsi="Times New Roman" w:cs="Times New Roman"/>
                <w:sz w:val="29"/>
                <w:szCs w:val="29"/>
              </w:rPr>
              <w:t>24. ООО КБЭР «Банк Казани»</w:t>
            </w:r>
          </w:p>
        </w:tc>
      </w:tr>
      <w:tr w:rsidR="00AF7D6C" w:rsidRPr="006668DA" w:rsidTr="00CA40F8">
        <w:trPr>
          <w:cantSplit/>
          <w:trHeight w:hRule="exact" w:val="1711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7D6C" w:rsidRPr="006668DA" w:rsidRDefault="00460028" w:rsidP="00CA40F8">
            <w:pPr>
              <w:pStyle w:val="a4"/>
              <w:ind w:left="288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lastRenderedPageBreak/>
              <w:t>3</w:t>
            </w:r>
            <w:r w:rsidR="00AF7D6C" w:rsidRPr="006668DA">
              <w:rPr>
                <w:b/>
                <w:sz w:val="29"/>
                <w:szCs w:val="29"/>
              </w:rPr>
              <w:t>.4. Реструктуризация задолженности</w:t>
            </w:r>
          </w:p>
          <w:p w:rsidR="00AF7D6C" w:rsidRPr="006668DA" w:rsidRDefault="00AF7D6C" w:rsidP="00CA40F8">
            <w:pPr>
              <w:pStyle w:val="a4"/>
              <w:ind w:left="288"/>
              <w:rPr>
                <w:b/>
                <w:sz w:val="29"/>
                <w:szCs w:val="29"/>
              </w:rPr>
            </w:pPr>
          </w:p>
        </w:tc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4C7F" w:rsidRPr="006668DA" w:rsidRDefault="00CA40F8" w:rsidP="007D638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Рекомендации </w:t>
            </w:r>
            <w:r w:rsidR="00AF7D6C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а</w:t>
            </w:r>
            <w:r w:rsidR="00AF7D6C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России кредиторам реструктурировать кредиты и займы,</w:t>
            </w:r>
            <w:r w:rsidR="007D6387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="00AF7D6C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выданные субъектам малого и среднего предпринимательства, </w:t>
            </w:r>
            <w:proofErr w:type="spellStart"/>
            <w:r w:rsidR="00AF7D6C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самозанятым</w:t>
            </w:r>
            <w:proofErr w:type="spellEnd"/>
            <w:r w:rsidR="00AF7D6C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гражданам, при существенном ухудшении положения заемщика.</w:t>
            </w:r>
          </w:p>
          <w:p w:rsidR="00684C7F" w:rsidRPr="006668DA" w:rsidRDefault="00684C7F" w:rsidP="00810AE7">
            <w:pPr>
              <w:spacing w:before="100" w:beforeAutospacing="1" w:after="100" w:afterAutospacing="1" w:line="240" w:lineRule="auto"/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Письмо Банка России кредитным организациям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от 20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марта 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>2020</w:t>
            </w:r>
            <w:r w:rsidR="001801C8"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г.</w:t>
            </w:r>
            <w:r w:rsidRPr="006668D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№ИН-06-59/24.</w:t>
            </w:r>
          </w:p>
        </w:tc>
      </w:tr>
      <w:tr w:rsidR="00F51ED6" w:rsidRPr="006668DA" w:rsidTr="00E26DFB">
        <w:trPr>
          <w:cantSplit/>
          <w:trHeight w:hRule="exact" w:val="4674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ED6" w:rsidRPr="006668DA" w:rsidRDefault="00460028" w:rsidP="009B70C5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033BD3" w:rsidRPr="006668DA">
              <w:rPr>
                <w:b/>
                <w:color w:val="000000"/>
                <w:sz w:val="28"/>
                <w:szCs w:val="28"/>
              </w:rPr>
              <w:t>.</w:t>
            </w:r>
            <w:r w:rsidR="00033BD3" w:rsidRPr="006668DA">
              <w:rPr>
                <w:b/>
                <w:sz w:val="28"/>
                <w:szCs w:val="28"/>
              </w:rPr>
              <w:t xml:space="preserve"> </w:t>
            </w:r>
            <w:r w:rsidR="009B70C5" w:rsidRPr="006668DA">
              <w:rPr>
                <w:b/>
                <w:sz w:val="28"/>
                <w:szCs w:val="28"/>
              </w:rPr>
              <w:t>Доступность и безопасность платежей</w:t>
            </w:r>
          </w:p>
        </w:tc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70C5" w:rsidRPr="006668DA" w:rsidRDefault="009B70C5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сохранения доступности дистанционной торговли и снижения издержек продавцов Банк России принял решение ограничить максимальное значение </w:t>
            </w:r>
            <w:proofErr w:type="spellStart"/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>эквайринговых</w:t>
            </w:r>
            <w:proofErr w:type="spellEnd"/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комиссий по онлайн-покупкам и установить их на период с </w:t>
            </w:r>
            <w:r w:rsidR="001801C8"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>15 апреля по 30 сентября 2020 г.</w:t>
            </w: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уровне не более </w:t>
            </w:r>
            <w:r w:rsidR="007D6387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 процента</w:t>
            </w: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B70C5" w:rsidRPr="006668DA" w:rsidRDefault="009B70C5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>С 1 мая 2020 г</w:t>
            </w:r>
            <w:r w:rsidR="001801C8"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максимальные банковские комиссии на переводы граждан в Системе быстрых платежей будут ограничены:</w:t>
            </w:r>
          </w:p>
          <w:p w:rsidR="009B70C5" w:rsidRPr="006668DA" w:rsidRDefault="009B70C5" w:rsidP="00CA40F8">
            <w:pPr>
              <w:numPr>
                <w:ilvl w:val="0"/>
                <w:numId w:val="7"/>
              </w:numPr>
              <w:tabs>
                <w:tab w:val="clear" w:pos="720"/>
                <w:tab w:val="num" w:pos="992"/>
              </w:tabs>
              <w:spacing w:before="100" w:beforeAutospacing="1" w:after="100" w:afterAutospacing="1" w:line="240" w:lineRule="auto"/>
              <w:ind w:left="142"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переводы до 100 тыс. рублей в месяц — без комиссии;</w:t>
            </w:r>
          </w:p>
          <w:p w:rsidR="00CA40F8" w:rsidRDefault="009B70C5" w:rsidP="00E26DFB">
            <w:pPr>
              <w:numPr>
                <w:ilvl w:val="0"/>
                <w:numId w:val="7"/>
              </w:numPr>
              <w:tabs>
                <w:tab w:val="clear" w:pos="720"/>
                <w:tab w:val="num" w:pos="992"/>
              </w:tabs>
              <w:spacing w:line="240" w:lineRule="auto"/>
              <w:ind w:left="142" w:right="142" w:firstLine="567"/>
              <w:jc w:val="both"/>
              <w:rPr>
                <w:color w:val="000000"/>
              </w:rPr>
            </w:pP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переводы на сумму свыше 100 тыс. рублей в месяц — не более 0,5% от суммы перевода, но не более 1500 рублей.</w:t>
            </w:r>
          </w:p>
          <w:p w:rsidR="00F51ED6" w:rsidRPr="00CA40F8" w:rsidRDefault="009B70C5" w:rsidP="00E26DFB">
            <w:pPr>
              <w:spacing w:line="240" w:lineRule="auto"/>
              <w:ind w:left="142" w:right="142" w:firstLine="567"/>
              <w:jc w:val="both"/>
              <w:rPr>
                <w:color w:val="000000"/>
              </w:rPr>
            </w:pPr>
            <w:r w:rsidRPr="00CA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того чтобы у граждан не возникало необходимости лишний раз выходить из дома, Банк России смягчил для банков требования по идентификации клиентов и расширил возможность предоставления ими дистанционных услуг. Операции, которые раньше проводились только с личным участием заемщика, например ипотечные сделки, в период распространения </w:t>
            </w:r>
            <w:proofErr w:type="spellStart"/>
            <w:r w:rsidRPr="00CA40F8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CA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проводить в удаленном режиме.</w:t>
            </w:r>
          </w:p>
        </w:tc>
      </w:tr>
      <w:tr w:rsidR="00E15B52" w:rsidRPr="006668DA" w:rsidTr="00CA40F8">
        <w:trPr>
          <w:cantSplit/>
          <w:trHeight w:hRule="exact" w:val="1410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5B52" w:rsidRPr="006668DA" w:rsidRDefault="00460028" w:rsidP="00D3088E">
            <w:pPr>
              <w:pStyle w:val="a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E15B52" w:rsidRPr="006668DA">
              <w:rPr>
                <w:b/>
                <w:color w:val="000000"/>
                <w:sz w:val="28"/>
                <w:szCs w:val="28"/>
              </w:rPr>
              <w:t>. Организация</w:t>
            </w:r>
            <w:r w:rsidR="00D3088E" w:rsidRPr="006668DA">
              <w:rPr>
                <w:b/>
                <w:color w:val="000000"/>
                <w:sz w:val="28"/>
                <w:szCs w:val="28"/>
              </w:rPr>
              <w:t xml:space="preserve"> бесплатного</w:t>
            </w:r>
            <w:r w:rsidR="00E15B52" w:rsidRPr="006668DA">
              <w:rPr>
                <w:b/>
                <w:color w:val="000000"/>
                <w:sz w:val="28"/>
                <w:szCs w:val="28"/>
              </w:rPr>
              <w:t xml:space="preserve"> консультирования </w:t>
            </w:r>
            <w:r w:rsidR="00D3088E" w:rsidRPr="006668DA">
              <w:rPr>
                <w:b/>
                <w:color w:val="000000"/>
                <w:sz w:val="28"/>
                <w:szCs w:val="28"/>
              </w:rPr>
              <w:t>по предоставляемым мерам поддержки</w:t>
            </w:r>
          </w:p>
        </w:tc>
        <w:tc>
          <w:tcPr>
            <w:tcW w:w="10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5B52" w:rsidRPr="006668DA" w:rsidRDefault="00E15B52" w:rsidP="00810AE7">
            <w:pPr>
              <w:ind w:left="142"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подробную информацию можно получить </w:t>
            </w:r>
            <w:r w:rsidRPr="00666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бесплатно:</w:t>
            </w:r>
          </w:p>
          <w:p w:rsidR="00E15B52" w:rsidRPr="006668DA" w:rsidRDefault="00E15B52" w:rsidP="00810AE7">
            <w:pPr>
              <w:pStyle w:val="a3"/>
              <w:numPr>
                <w:ilvl w:val="0"/>
                <w:numId w:val="8"/>
              </w:numPr>
              <w:spacing w:after="200" w:line="276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телефону </w:t>
            </w:r>
            <w:hyperlink r:id="rId7" w:history="1">
              <w:r w:rsidRPr="006668DA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8 800 300 30 00</w:t>
              </w:r>
            </w:hyperlink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звонков из регионов России</w:t>
            </w:r>
          </w:p>
          <w:p w:rsidR="00E15B52" w:rsidRPr="006668DA" w:rsidRDefault="00E15B52" w:rsidP="00810AE7">
            <w:pPr>
              <w:pStyle w:val="a3"/>
              <w:numPr>
                <w:ilvl w:val="0"/>
                <w:numId w:val="8"/>
              </w:numPr>
              <w:spacing w:after="200" w:line="276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номеру </w:t>
            </w:r>
            <w:r w:rsidRPr="00666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</w:t>
            </w:r>
            <w:r w:rsidRPr="006668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абонентов </w:t>
            </w:r>
            <w:r w:rsidRPr="00666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Билайн, Мегафон, МТС, Теле</w:t>
            </w:r>
            <w:proofErr w:type="gramStart"/>
            <w:r w:rsidRPr="00666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Pr="00666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66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Yota</w:t>
            </w:r>
            <w:proofErr w:type="spellEnd"/>
          </w:p>
          <w:p w:rsidR="00E15B52" w:rsidRPr="006668DA" w:rsidRDefault="00E15B52" w:rsidP="00810AE7">
            <w:pPr>
              <w:spacing w:before="100" w:beforeAutospacing="1" w:after="100" w:afterAutospacing="1" w:line="240" w:lineRule="auto"/>
              <w:ind w:left="142" w:righ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3467" w:rsidRPr="006668DA" w:rsidRDefault="00503467" w:rsidP="00FE69A2"/>
    <w:sectPr w:rsidR="00503467" w:rsidRPr="006668DA" w:rsidSect="00A84660">
      <w:pgSz w:w="16838" w:h="11906" w:orient="landscape"/>
      <w:pgMar w:top="284" w:right="425" w:bottom="28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984"/>
    <w:multiLevelType w:val="multilevel"/>
    <w:tmpl w:val="6FEE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D2021"/>
    <w:multiLevelType w:val="multilevel"/>
    <w:tmpl w:val="A660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F6185"/>
    <w:multiLevelType w:val="multilevel"/>
    <w:tmpl w:val="DDD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12C02"/>
    <w:multiLevelType w:val="hybridMultilevel"/>
    <w:tmpl w:val="181C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E3AE3"/>
    <w:multiLevelType w:val="multilevel"/>
    <w:tmpl w:val="A740C86A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>
    <w:nsid w:val="3BF43546"/>
    <w:multiLevelType w:val="hybridMultilevel"/>
    <w:tmpl w:val="3EB4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33A67"/>
    <w:multiLevelType w:val="hybridMultilevel"/>
    <w:tmpl w:val="8152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7DF0"/>
    <w:multiLevelType w:val="hybridMultilevel"/>
    <w:tmpl w:val="53A69A8A"/>
    <w:lvl w:ilvl="0" w:tplc="71925D9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1ED6"/>
    <w:rsid w:val="00012E1E"/>
    <w:rsid w:val="00033BD3"/>
    <w:rsid w:val="000519B7"/>
    <w:rsid w:val="00053FC8"/>
    <w:rsid w:val="000704AF"/>
    <w:rsid w:val="000D0067"/>
    <w:rsid w:val="000F2674"/>
    <w:rsid w:val="00104D79"/>
    <w:rsid w:val="00115D89"/>
    <w:rsid w:val="001332C1"/>
    <w:rsid w:val="001467F7"/>
    <w:rsid w:val="001801C8"/>
    <w:rsid w:val="00182D05"/>
    <w:rsid w:val="001B7A8F"/>
    <w:rsid w:val="001D7F4B"/>
    <w:rsid w:val="001E4CF4"/>
    <w:rsid w:val="001F6BC8"/>
    <w:rsid w:val="00201479"/>
    <w:rsid w:val="00205582"/>
    <w:rsid w:val="00253E73"/>
    <w:rsid w:val="00263950"/>
    <w:rsid w:val="002A520D"/>
    <w:rsid w:val="002B7BEB"/>
    <w:rsid w:val="002C0E51"/>
    <w:rsid w:val="002D1E9B"/>
    <w:rsid w:val="002D7AC8"/>
    <w:rsid w:val="002E348F"/>
    <w:rsid w:val="003163D3"/>
    <w:rsid w:val="003613C4"/>
    <w:rsid w:val="003656E1"/>
    <w:rsid w:val="0037010D"/>
    <w:rsid w:val="0038564B"/>
    <w:rsid w:val="003A69EA"/>
    <w:rsid w:val="003E0C54"/>
    <w:rsid w:val="003E487A"/>
    <w:rsid w:val="00425E12"/>
    <w:rsid w:val="00426D68"/>
    <w:rsid w:val="004334D0"/>
    <w:rsid w:val="00440E3D"/>
    <w:rsid w:val="00457605"/>
    <w:rsid w:val="00460028"/>
    <w:rsid w:val="004802BC"/>
    <w:rsid w:val="0049490C"/>
    <w:rsid w:val="004A1ABA"/>
    <w:rsid w:val="004A21A6"/>
    <w:rsid w:val="004C1F07"/>
    <w:rsid w:val="004D2332"/>
    <w:rsid w:val="004D706E"/>
    <w:rsid w:val="004E3A42"/>
    <w:rsid w:val="00503467"/>
    <w:rsid w:val="005339EA"/>
    <w:rsid w:val="00535AAC"/>
    <w:rsid w:val="00563061"/>
    <w:rsid w:val="00582CD8"/>
    <w:rsid w:val="005C2F7A"/>
    <w:rsid w:val="005C444D"/>
    <w:rsid w:val="005D70B5"/>
    <w:rsid w:val="005E081F"/>
    <w:rsid w:val="005E5C81"/>
    <w:rsid w:val="005F002F"/>
    <w:rsid w:val="00606207"/>
    <w:rsid w:val="00614C58"/>
    <w:rsid w:val="0065224F"/>
    <w:rsid w:val="0065620C"/>
    <w:rsid w:val="006668DA"/>
    <w:rsid w:val="006729E1"/>
    <w:rsid w:val="00674523"/>
    <w:rsid w:val="00684C7F"/>
    <w:rsid w:val="00690B2F"/>
    <w:rsid w:val="006A0E4B"/>
    <w:rsid w:val="006A598D"/>
    <w:rsid w:val="006D0B65"/>
    <w:rsid w:val="006D499E"/>
    <w:rsid w:val="00715077"/>
    <w:rsid w:val="00715ACA"/>
    <w:rsid w:val="00724900"/>
    <w:rsid w:val="00740B75"/>
    <w:rsid w:val="00767638"/>
    <w:rsid w:val="00785DE7"/>
    <w:rsid w:val="007D6387"/>
    <w:rsid w:val="008036F9"/>
    <w:rsid w:val="00810AE7"/>
    <w:rsid w:val="00832770"/>
    <w:rsid w:val="0084647F"/>
    <w:rsid w:val="00890F96"/>
    <w:rsid w:val="0089139D"/>
    <w:rsid w:val="0089178F"/>
    <w:rsid w:val="008B2918"/>
    <w:rsid w:val="008C3E83"/>
    <w:rsid w:val="008D0CF3"/>
    <w:rsid w:val="008D13F0"/>
    <w:rsid w:val="008D53EF"/>
    <w:rsid w:val="00951532"/>
    <w:rsid w:val="00973B51"/>
    <w:rsid w:val="00976B8A"/>
    <w:rsid w:val="009A779E"/>
    <w:rsid w:val="009B70C5"/>
    <w:rsid w:val="009E546D"/>
    <w:rsid w:val="00A13383"/>
    <w:rsid w:val="00A636F3"/>
    <w:rsid w:val="00A84660"/>
    <w:rsid w:val="00A9506D"/>
    <w:rsid w:val="00AA23E3"/>
    <w:rsid w:val="00AB248C"/>
    <w:rsid w:val="00AC149D"/>
    <w:rsid w:val="00AD1378"/>
    <w:rsid w:val="00AD62C6"/>
    <w:rsid w:val="00AF7D6C"/>
    <w:rsid w:val="00B4103A"/>
    <w:rsid w:val="00B47A97"/>
    <w:rsid w:val="00BA0657"/>
    <w:rsid w:val="00BD0C0F"/>
    <w:rsid w:val="00BD48CB"/>
    <w:rsid w:val="00BE41F1"/>
    <w:rsid w:val="00C06150"/>
    <w:rsid w:val="00C21278"/>
    <w:rsid w:val="00C6600F"/>
    <w:rsid w:val="00C90091"/>
    <w:rsid w:val="00CA40F8"/>
    <w:rsid w:val="00CA59C9"/>
    <w:rsid w:val="00D3088E"/>
    <w:rsid w:val="00D46B02"/>
    <w:rsid w:val="00E15B52"/>
    <w:rsid w:val="00E26DFB"/>
    <w:rsid w:val="00E32E3B"/>
    <w:rsid w:val="00E67CA3"/>
    <w:rsid w:val="00E87F60"/>
    <w:rsid w:val="00EC660C"/>
    <w:rsid w:val="00ED7A05"/>
    <w:rsid w:val="00EE3801"/>
    <w:rsid w:val="00F11FCF"/>
    <w:rsid w:val="00F51ED6"/>
    <w:rsid w:val="00F62DEB"/>
    <w:rsid w:val="00F81768"/>
    <w:rsid w:val="00FD651F"/>
    <w:rsid w:val="00FD6557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F3"/>
  </w:style>
  <w:style w:type="paragraph" w:styleId="2">
    <w:name w:val="heading 2"/>
    <w:basedOn w:val="a"/>
    <w:link w:val="20"/>
    <w:uiPriority w:val="9"/>
    <w:qFormat/>
    <w:rsid w:val="009B7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3BD3"/>
    <w:rPr>
      <w:color w:val="0000FF"/>
      <w:u w:val="single"/>
    </w:rPr>
  </w:style>
  <w:style w:type="character" w:styleId="a6">
    <w:name w:val="Strong"/>
    <w:basedOn w:val="a0"/>
    <w:uiPriority w:val="22"/>
    <w:qFormat/>
    <w:rsid w:val="00033BD3"/>
    <w:rPr>
      <w:b/>
      <w:bCs/>
    </w:rPr>
  </w:style>
  <w:style w:type="character" w:styleId="a7">
    <w:name w:val="Emphasis"/>
    <w:basedOn w:val="a0"/>
    <w:uiPriority w:val="20"/>
    <w:qFormat/>
    <w:rsid w:val="0084647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70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56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F3"/>
  </w:style>
  <w:style w:type="paragraph" w:styleId="2">
    <w:name w:val="heading 2"/>
    <w:basedOn w:val="a"/>
    <w:link w:val="20"/>
    <w:uiPriority w:val="9"/>
    <w:qFormat/>
    <w:rsid w:val="009B7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3BD3"/>
    <w:rPr>
      <w:color w:val="0000FF"/>
      <w:u w:val="single"/>
    </w:rPr>
  </w:style>
  <w:style w:type="character" w:styleId="a6">
    <w:name w:val="Strong"/>
    <w:basedOn w:val="a0"/>
    <w:uiPriority w:val="22"/>
    <w:qFormat/>
    <w:rsid w:val="00033BD3"/>
    <w:rPr>
      <w:b/>
      <w:bCs/>
    </w:rPr>
  </w:style>
  <w:style w:type="character" w:styleId="a7">
    <w:name w:val="Emphasis"/>
    <w:basedOn w:val="a0"/>
    <w:uiPriority w:val="20"/>
    <w:qFormat/>
    <w:rsid w:val="0084647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70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56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8800300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393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Марк Юрьевич</dc:creator>
  <cp:lastModifiedBy>2</cp:lastModifiedBy>
  <cp:revision>2</cp:revision>
  <cp:lastPrinted>2020-04-20T14:14:00Z</cp:lastPrinted>
  <dcterms:created xsi:type="dcterms:W3CDTF">2020-04-27T10:52:00Z</dcterms:created>
  <dcterms:modified xsi:type="dcterms:W3CDTF">2020-04-27T10:52:00Z</dcterms:modified>
</cp:coreProperties>
</file>